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77"/>
        <w:gridCol w:w="1698"/>
        <w:gridCol w:w="856"/>
        <w:gridCol w:w="1698"/>
        <w:gridCol w:w="2419"/>
        <w:gridCol w:w="1412"/>
      </w:tblGrid>
      <w:tr w:rsidR="003153CE" w:rsidRPr="003153CE" w:rsidTr="003153CE">
        <w:trPr>
          <w:tblCellSpacing w:w="0" w:type="dxa"/>
          <w:jc w:val="center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学历要求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专业要求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日喀则市局（公司）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党建管理员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汉语言文学、思想政治教育、马克思主义理论、工商管理、公共事业管理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县级销售网点客户经理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市场营销、工商管理、电子商务、财务管理、会计学、国际经济与贸易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同等条件懂汉藏双语者优先</w:t>
            </w: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山南市局（公司）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人事管理员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人力资源管理、行政管理、企业管理、劳动与社会保障、社会学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网络系统管理员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信息管理与信息系统、计算机科学与技术、网络工程、信息安全、软件工程、电子与计算机工程、智能科学与技术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昌都市局（公司）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专卖综合管理员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法学、行政管理、工商管理、公共事业管理、企业管理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营销市场分析员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市场营销、广告学、传播学、电子商务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物流综合管理员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物流管理、物流工程、企业管理、电子商务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3153CE" w:rsidRPr="003153CE" w:rsidTr="003153CE">
        <w:trPr>
          <w:tblCellSpacing w:w="0" w:type="dxa"/>
          <w:jc w:val="center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阿里地区局（公司）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县级销售网点客户经理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市场营销、工商管理、电子商务、财务管理、会计学、国际经济与贸易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53CE" w:rsidRPr="003153CE" w:rsidRDefault="003153CE" w:rsidP="003153C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53CE">
              <w:rPr>
                <w:rFonts w:ascii="宋体" w:eastAsia="宋体" w:hAnsi="宋体" w:cs="宋体"/>
                <w:sz w:val="24"/>
                <w:szCs w:val="24"/>
              </w:rPr>
              <w:t>同等条件懂汉藏双语者优先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153CE"/>
    <w:rsid w:val="003153CE"/>
    <w:rsid w:val="00323B43"/>
    <w:rsid w:val="003D37D8"/>
    <w:rsid w:val="004358AB"/>
    <w:rsid w:val="0064020C"/>
    <w:rsid w:val="008811B0"/>
    <w:rsid w:val="008B7726"/>
    <w:rsid w:val="00CF7209"/>
    <w:rsid w:val="00F15E0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5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2020-05-26T03:42:00Z</dcterms:created>
  <dcterms:modified xsi:type="dcterms:W3CDTF">2020-05-26T03:43:00Z</dcterms:modified>
</cp:coreProperties>
</file>